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159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«Предложения по совершенствованию действующего законодательства, сформированные по результатам правоприменительной практики»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Сфера жилищно- коммунального хозяйства во все времена являлась ключевой и социально значимой.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Позволю себе обратиться к относительно недавней истории, когда еще чуть больше 30 лет назад основными участниками жилищных правоотношений были государство и гражданин.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Так называемая советская модель управления жильем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полностью консолидировала управление в руках государства, закрепляя за гражданами обязанности по бережному отношению к предоставляемым ресурсам.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 началом рыночных реформ, приватизации жилищного фонда, начала активно формироваться новая модель управления, где основная функция государства трансформировалась из роли собственника в роль регулятора.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свою очередь, граждане, получив права собственности, стали активными участниками процесса управления своим имуществом.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Когда услуги по управлению многоквартирными домами приобрели коммерческую основу, законодательно за управляющими организациями был закреплен широкий спектр обязанностей при достаточно ограниченных правах.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 развитием и реформированием жилищного законодательства, а также законодательства о контроле и надзоре, особое внимание стало уделяться балансу интересов граждан, государства и бизнеса.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реализации тех или иных функций, органу власти необходимо сформировать свою позицию, с точки зрения которой, он будет оценивать доводы заявителей и действия контролируемых лиц.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Есть несколько ключевых факторов, на которых мы базируем свое мнение по каждому вопросу, относящему к предмету контроля (надзора) инспекции, это: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положения действующего законодательства;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выводы высших судов;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судебная практика нашего региона и других субъектов Российской Федерации;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практика других органов власти в схожих вопросах и наших коллег по отрасли.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Безусловно, спорных моментов много, но сегодня я остановлюсь на нескольких, которые вызывают вопросы не только в нашем, но и в других регионах страны.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Наш предмет контроля (надзора) мы условно разделили на три блока: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содержание;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управление;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лицензирование.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свою очередь, в каждом блоке мы определили по одному приоритетному вопросу, который вызывает определенную обеспокоенность, как среди граждан, так и контролируемых лиц.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Итак, в рамках содержания — это возможность и условия применения размера платы, установленного органом местного самоуправления;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управлении – это проблема ведения реестра собственников помещений в многоквартирном доме и соответствующей ответственности управляющей организации;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 также достаточно известная ситуация в сфере лицензирования – это смена управляющей организации и способа управления.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Эти проблемы мы видим, знаем, анализируем, в связи с чем, в целях устранения неоднозначной правоприменительной практики, разработали предложения по совершенствованию действующего законодательства, которые будут сегодня представлены.</w:t>
      </w:r>
      <w:r/>
    </w:p>
    <w:p>
      <w:pPr>
        <w:pStyle w:val="621"/>
        <w:numPr>
          <w:ilvl w:val="0"/>
          <w:numId w:val="4"/>
        </w:numPr>
        <w:ind w:right="0"/>
        <w:jc w:val="center"/>
        <w:spacing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Возможность и условия применения так называемого «муниципального тарифа»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 переходом на рыночные отношения, основополагающим документом, регламентирующим права и обязанности их участников, стал договор управления.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Законодатель определил, что цена такого договора устанавливается на основании решения общего собрания с учетом предложений управляющей организации.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 фактически, на протяжении длительного времени, размер платы за содержание общего имущества определялся собственниками самостоятельно, без учета его экономической обоснованности.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Верховенство решения общего собрания собственников по данному вопросу и отсутствие законных оснований у управляющей организации самостоятельно изменить размер платы за содержание, признавалось сформированной на тот момент судебной практикой.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Более того, на протяжении длительного времени за управляющей организацией не признавалось право на оспаривание решения общего собрания по данному вопросу, в виду отсутствия прямого указания в законе.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 2015 года после ключевых выводов Верховного суда РФ ситуация стала меняться.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Управляющие организации путем оспаривания решений общего собрания в суде, стали влиять на размер платы, который не соответствовал принципам разумности и не позволял должным образом выполнять требования Минимального перечня № 290.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Кроме того, судами признано обоснованным применение индексации размера платы за содержание, если порядок индексации и изменения платы был утвержден общим собранием ранее, одновременно с утверждением договора управления многоквартирным домом.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Однако к необходимой соразмерности между утверждаемым собственниками размером платы и реальными фактическими затратами на надлежащее содержание многоквартирного дома это не привело.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этой связи, многими экспертами в сфере ЖКХ, в том числе и в городе Новосибирске, рассматривалась возможность применения размера платы, утвержденного органом местного самоуправления, как минимально допустимого, в тех многоквартирных домах, где собственник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длительный период не принимают решения об изменении размера платы за содержание.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Подобные вопросы стали поступать в инспекцию и от управляющих организаций.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Содержание правовых норм, в настоящее время, не позволяют сделать вывод о возможности применения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размера платы, утвержденного органом местного самоуправления, по усмотрению управляющих организаций, в многоквартирных домах где собственники не принимают активного участия в содержании своего имущества.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данный момент позиция инспекции, как и многих органов госжилнадзора других регионов, основывается на следующих ключевых моментах.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определении срока, на который устанавливается размер платы за содержание, законодатель указал лишь его минимальный предел – не менее 1 года, и не ограничил его действие.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свою очередь, положения статьи 158 Жилищного кодекса Российской Федерации, а также Постановления Правительства Российской Федерации № 491, определяют случаи применения так называемого «муниципального тарифа».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которым, в том числе, отнесена ситуация, когда собственники не приняли решение об установлении размера платы за содержание жилого помещения.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Соответственно, исходя из совокупности данных норм, если собственники хотя бы один раз приняли решение об утверждении размера платы, а в последующем, размер таком платы не изменяли, то оснований для применения размера платы, утвержденного органом местного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самоуправления, нет.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Размер платы, утвержденный органом местного самоуправления, применяется только в том случае, когда такое решение собственниками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вообще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принималось.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свою очередь, судебная практика по рассмотрению вопроса установления размера платы за содержание жилого помещения органом местного самоуправления не всегда является однозначной.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практике инспекции есть прецеденты, когда при рассмотрении аналогичных споров между теми же сторонами судом приняты противоположные решения.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 при этом большая часть судебных актов подтверждает законность позиции инспекции.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Анализ судебной практики других регионов показал, что в ряде из них, данная позиция поддержана судами, а в ряде - признана несостоятельной.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связи с чем, полагаем, что имеет место правовая неопределенность, которую необходимо устранить.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Проанализировав выводы, изложенные в судебных актах, доводы собственников и управляющих организаций, нами предлагается внести изменения в статьи 156, 158 Жилищного кодекса Российской Федерации, а также в Постановление Правительства Российской Федерации № 4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91.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Итак, ключевые изменения: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установить пресекательный срок, на который утверждается размер платы - 1 год;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определить, что в случае непринятия собственниками помещений в многоквартирном доме решения об утверждении размера платы за содержание жилого помещения на очередной период, если иное не установлено договором управления многоквартирным домом, применятся 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анее утвержденный размер платы за содержание жилого помещения, если такой размер платы не менее утвержденного органом местного самоуправления;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конкретизировать случаи установления размера платы за содержание жилого помещения органом местного самоуправления, при этом ограничив сроки принятия собственниками самостоятельного решения об утверждении размера платы до одного месяца (в случае неисполне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ния ими такой обязанности в данный период времени, применению подлежит размер платы, утвержденный органом местного самоуправления).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Данные изменения позволят исключить спорные ситуации и привести к единообразию правоприменительную практику.</w:t>
      </w:r>
      <w:r/>
    </w:p>
    <w:p>
      <w:pPr>
        <w:pStyle w:val="621"/>
        <w:numPr>
          <w:ilvl w:val="0"/>
          <w:numId w:val="5"/>
        </w:numPr>
        <w:ind w:right="0"/>
        <w:jc w:val="center"/>
        <w:spacing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Ведение управляющими организациями реестра собственников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Следующим аспектом в управлении многоквартирными домами, вызывающим значительное количество вопросов, является ведение реестра собственников помещений в многоквартирном доме, который необходим: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проведении общих собраний,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ведении реестра лицевых счетов,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формировании начислений,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 также работе с должниками и обращениями граждан (поскольку, для собственников и не собственников установлен разный срок ответа на обращения и запросы).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Указанная обязанность установлена Жилищным кодексом Российской Федерации и Правилами осуществления деятельности по управлению многоквартирными домами, и возложена на управляющие организации.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Однако, внесенные в действующее законодательство изменения с 01 марта 2023 года исключили возможность включения персональных данных в выписки из ЕГРН.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Исключение составляют лишь прямо предусмотренные законом случаи, в том числе, запросы уполномоченных органов.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Инспекции такие сведения предоставляются в рамках четко определенных целей – для проведения контрольных (надзорных) мероприятий и оценки кворума.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этом, передача полученных инспекцией сведений третьим лицам, невозможна, поскольку это будет противоречить смыслу внесенных поправок.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Несмотря на это, из числа лицензионных и обязательных требований ведение реестра собственников не исключено.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связи с чем, фактически управляющая организация должна предпринять все зависящие от нее иные меры по ведению такого реестра и поддержанию его актуальности.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этом, в случае поступления жалобы мы обязаны отреагировать, и, при установлении нарушений, принять соответствующие меры, в том числе по выдаче предписания и привлечению к административной ответственности.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Действия инспекции неоднократно оспаривались и, в большинстве случаев, их законность подтверждена судебными актами.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Но, в некоторых случаях, суды встают на сторону управляющих организаций, учитывая невозможность получения необходимых сведений.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Как раз, в данном случае, важно соблюсти баланс между правами гражданина, государства и бизнеса, о котором говорилось ранее.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Это возможно путем устранения возникшей правовой неопределенности.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Мы предлагаем внести изменения в статью 45 Жилищного кодекса Российской Федерации, суть которых заключается в следующем: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возложить на собственников обязанность по предоставлению в управляющую организацию, ТСЖ, ЖСК, сведений, необходимых для ведения реестра, не позднее 30 дней со дня регистрации права собственности;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Указанная обязанность является основанием для возникновения корреспондирующего права управляющей организации требовать от собственников предоставления необходимых сведений.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Кроме того, предлагается конкретизировать действия управляющей организации при работе с реестром.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Установить, что для ведения реестра собственников помещений в многоквартирном доме управляющие организации, в том числе принимают меры по актуализации сведений путем взаимодействия с собственниками.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Предлагаемые изменения, будут способствовать установлению диалога между собственниками и управляющей организацией, исключению злоупотребления правом со стороны собственников и неисполнимых требований, предъявляемых к управляющим организациям.</w:t>
      </w:r>
      <w:r/>
    </w:p>
    <w:p>
      <w:pPr>
        <w:pStyle w:val="621"/>
        <w:numPr>
          <w:ilvl w:val="0"/>
          <w:numId w:val="6"/>
        </w:numPr>
        <w:ind w:right="0"/>
        <w:jc w:val="both"/>
        <w:spacing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Смена способа управления, управляющей организации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Еще одно важное и дискуссионное направление - смена способа управления или управляющей организации.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Споры в данных вопросах являются общероссийской проблемой, которая так, или иначе, проявлялась в каждом регионе.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 сведениям ГИС ЖКХ на территории Новосибирской области расположено 15890 многоквартирных домов.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Доля многоквартирных домов, по которым в инспекцию поступали заявления о внесении изменений в реестр лицензий Новосибирской области более 2-х раз за календарный год, составляет 0,18 %.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Помимо того, что инспекцией на протяжении нескольких лет эта проблема поднималась на совещаниях разных уровней, также проводился и анализ ситуации.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принятии решения об изменении практики правоприменения, инспекцией учитываются выводы, изложенные в судебных актах различных инстанций, а также опыт других регионов.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Так, изменения практики правоприменения были реализованы в 2021 году и законность данных действий инспекции, в большинстве случаев, подтверждена судебными решениями.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 несколько лет работы мы скорректировали административные процедуры при внесении изменений в реестр лицензий.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взаимодействии с Россреестром реализовали возможность получения объективных сведений о собственниках помещений и объеме их прав.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 возникают ситуации, когда полномочий инспекции недостаточно.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Законодателем приняты меры по урегулированию ситуации путем изменения ч.8.2 ст. 162 Жилищного кодекса Российской Федерации: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ограничено право на односторонний отказ собственников от исполнения договора управления не ранее чем через год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при этом предусмотрено исключение, позволяющее принять решение ранее установленного срока, в случае невыполнения управляющей организацией условий договора управления многоквартирным домом.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текущий момент судебная практика сложилась таким образом, что суды расценивают данную норму, как императивную, т.е. смена управляющей организации возможна не более одного раза в год.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 исключения из этого правила есть, и рано или поздно, мы будем вынуждены дать ему оценку в ходе реализации своих полномочий.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Проанализировав нормы действующего законодательства, мы видим правовую неопределенность и сложности в реализации оценки исполнения условий договора управления в связи со следующим.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Договор управления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регулирует отношения между собственниками помещений в многоквартирном доме и организацией, осуществляющей управление домом за плату.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При этом, законодатель наделил собственников правом принять решение о расторжении договора управления в одностороннем порядке вне зависимости от срока его действия и без обращения в суд.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связи с чем, на собственников не возложена обязанность по доказыванию факта неисполнения договора управления в судебном порядке.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Также нормы жилищного законодательства не раскрывают понятие «невыполнение условий договора управления многоквартирным домом».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Из чего следует, что оценка исполнения данного договора является субъективным мнением его сторон.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свою очередь, орган госжилнадзора дает оценку только исполнению тех условий договора управления, которые относятся к лицензионным требованиям.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При этом,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не всякое невыполнение условий договора управления может быть связано с вопросами, включенными в предмет государственного жилищного надзора.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Стоит обратить внимание на несколько моментов, осложняющих применение данной нормы: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 внесение изменений в реестр лицензий осуществляется в рамках предоставления государственной услуги;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 за внесением изменений в реестр лицензий обращается новая управляющая организация, она же является получателем данной услуги;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 при предоставлении такой услуги мы осуществляем межведомственное взаимодействие;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 при этом,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инспекция не наделена полномочиями запрашивать у лицензиата документы, которые подтверждали бы неисполнение условий договора управления, заключенного между собственниками и ранее избранной управляющей организацией;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более того, у лицензиата, обратившегося в инспекцию с заявлением о внесении изменений в реестр лицензий субъекта РФ, как правило, отсутствует сама возможность представления таких документов, так как он не является стороной ранее заключенного договора упр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авления;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рассмотрение заявления лицензиата о внесении изменений в реестр лицензий, не относится к контрольным (надзорным) мероприятиям, в рамках которых может быть установлен факт несоблюдения лицензионных требований, как один из возможных объективных критериев 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енадлежащего исполнения условий договора управления.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 результатам межведомственных встреч и совещаний, все участники пришли к единому мнению о необходимости изменения нормативного регулирования.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целях совершенствования правового регулирования отношений в сфере управления многоквартирными домами ГЖИ НСО дважды разрабатывались и предлагались меры по совершенствованию действующего законодательства.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Первые предложения направлены в Законодательное собрание НСО в мае 2022 года.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Вторая редакция предложений - в марте 2024 года.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текущий момент инспекция придерживается мнения о необходимости внесения следующих изменений в Жилищный кодекс Российской Федерации: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Сохранить действующее ограничение относительно права собственников на односторонний отказ от исполнения договора управления не ранее чем через год, но не с даты заключения такого договора, а с даты внесения изменений в реестр лицензий субъекта Российско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й Федерации.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 при этом предлагается внести изменения в основания для такого отказа, ранее установленного срока - заменить условия о неисполнении договора на случаи установления уполномоченным органом власти двух и более нарушений требований, предъявляемых к управлени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ю и содержанию многоквартирного дома.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 также дополнить указанную норму условием, что такой отказ может быть реализован не более одного раза в течение календарного года.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Данное предложение направлено на соблюдение прав и интересов собственников, дисциплинирование управляющих организаций и установление диалога между сторонами по договору управления.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этом допущение двух и более нарушений не влекут за собой принудительного (т.е. по инициативе органа государственного жилищного надзора) исключения многоквартирного дома из реестра лицензий.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Данная норма лишь предоставляет собственникам право на смену управляющей организации ранее чем через год.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этом представленная редакция устраняет ранее перечисленные признаки правовой неопределенности и не ущемляет прав управляющих организаций, т.к. недопущение нарушений лицензионных требований – это основная их обязанность.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Кроме того, мы предлагаем дополнить перечень оснований для рассмотрения лицензионной комиссией вопроса об обращении в суд с заявлением об аннулировании лицензии наличием вступившего в законную силу судебного акта, устанавливающего вину управляющей орган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изации, должностных лиц управляющей организации в подделке протоколов общих собраний собственников помещений в многоквартирных домах, а также их решений.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Указанные изменения не являются ограничением прав сторон по договору управления, а устанавливают условия реализации их прав и обязанностей.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Немного остановлюсь на внедрении «Цифровизации и клиентоцентричности».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того, чтобы работа инспекции была более эффективной, мы делаем акцент на ее цифровизацию.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Наша контрольная (надзорная) деятельность обеспечивается ведомственной информационной системой, которая ежегодно модернизируется.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 отмечу, что уже второй год подряд мы работаем над достаточно интересным проектом.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рамках внедрения стандартов клиентоцентричности нами было предложено изменить подход к работе лицензионной комиссии в регионе и формату сдачи квалификационного экзамена.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Совместно с Минцифрой НСО и разработчиком системы, мы проработали программные решения, позволяющие: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проводить заседания лицензионной комиссии в удаленном режиме (при необходимости);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обеспечить возможность претенденту сдать квалификационный экзамен на базе нашей ведомственной системы дистанционно и получить результаты в личный кабинет;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этом, за ходом экзамена будет следить не только сотрудник инспекции, но и автоматизированная система контроля, исключающая возможность использования сторонних вспомогательных источников.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после чего, «в один клик» сформировать заявление на получение лицензии.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Мы сокращаем количество визитов претендентов и соискателей в ведомство, а также сроки всех процедур, делаем процесс сдачи квалификационного экзамена и получения лицензии «прозрачнее», поскольку вся история взаимодействия будет сохранена в системе.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Аналогов данной системы в других регионах пока мы не встречали.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Тестирование системы запланировано на 3 квартал текущего года.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Уверен, что в рамках следующей нашей встречи, мы уже поделимся успешными результатами внедрения данного сервиса.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завершении отмечу, что все наши предложения направлены в Минстрой России, инспекция включена в состав рабочей группы по совершенствованию законодательства о лицензировании.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Прошу поддержать наши предложения на уровне Общественной палаты РФ. </w:t>
      </w:r>
      <w:r/>
    </w:p>
    <w:p>
      <w:pPr>
        <w:ind w:left="0" w:right="0" w:firstLine="709"/>
        <w:jc w:val="both"/>
        <w:spacing w:before="278" w:after="278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2025-05-15T02:27:08Z</dcterms:modified>
</cp:coreProperties>
</file>